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F2ED" w14:textId="77777777" w:rsidR="00ED2254" w:rsidRDefault="00ED2254" w:rsidP="00ED2254">
      <w:pPr>
        <w:rPr>
          <w:rFonts w:cs="Arial"/>
          <w:b/>
          <w:snapToGrid w:val="0"/>
          <w:color w:val="538135"/>
          <w:sz w:val="28"/>
          <w:szCs w:val="28"/>
        </w:rPr>
      </w:pPr>
    </w:p>
    <w:p w14:paraId="2F055F04" w14:textId="77777777" w:rsidR="00ED2254" w:rsidRDefault="00ED2254" w:rsidP="00ED2254">
      <w:pPr>
        <w:jc w:val="center"/>
        <w:rPr>
          <w:rFonts w:cs="Arial"/>
          <w:b/>
          <w:snapToGrid w:val="0"/>
          <w:color w:val="538135"/>
          <w:sz w:val="28"/>
          <w:szCs w:val="28"/>
        </w:rPr>
      </w:pPr>
      <w:r>
        <w:rPr>
          <w:rFonts w:ascii="Helvetica" w:eastAsiaTheme="minorHAnsi" w:hAnsi="Helvetica" w:cs="Helvetica"/>
          <w:noProof/>
          <w:sz w:val="24"/>
        </w:rPr>
        <w:drawing>
          <wp:inline distT="0" distB="0" distL="0" distR="0" wp14:anchorId="513317F1" wp14:editId="302A5EC1">
            <wp:extent cx="3374390" cy="825500"/>
            <wp:effectExtent l="0" t="0" r="381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090" cy="8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AEC19" w14:textId="77777777" w:rsidR="005823E1" w:rsidRPr="00ED2254" w:rsidRDefault="005823E1" w:rsidP="005823E1">
      <w:pPr>
        <w:jc w:val="center"/>
        <w:rPr>
          <w:b/>
          <w:color w:val="800000"/>
          <w:sz w:val="28"/>
          <w:szCs w:val="28"/>
        </w:rPr>
      </w:pPr>
      <w:r w:rsidRPr="00ED2254">
        <w:rPr>
          <w:rFonts w:cs="Arial"/>
          <w:b/>
          <w:snapToGrid w:val="0"/>
          <w:color w:val="800000"/>
          <w:sz w:val="28"/>
          <w:szCs w:val="28"/>
        </w:rPr>
        <w:t>Injury Treatment Guidelines</w:t>
      </w:r>
    </w:p>
    <w:p w14:paraId="2FE07E82" w14:textId="77777777" w:rsidR="005823E1" w:rsidRDefault="005823E1" w:rsidP="005823E1">
      <w:pPr>
        <w:rPr>
          <w:b/>
        </w:rPr>
      </w:pPr>
    </w:p>
    <w:p w14:paraId="52620BC8" w14:textId="77777777" w:rsidR="005823E1" w:rsidRPr="00320179" w:rsidRDefault="005823E1" w:rsidP="005823E1">
      <w:pPr>
        <w:rPr>
          <w:rFonts w:ascii="Arial Narrow" w:hAnsi="Arial Narrow" w:cs="Arial"/>
          <w:b/>
          <w:snapToGrid w:val="0"/>
          <w:color w:val="000000"/>
          <w:sz w:val="24"/>
        </w:rPr>
      </w:pPr>
      <w:r w:rsidRPr="00320179">
        <w:rPr>
          <w:rFonts w:ascii="Arial Narrow" w:hAnsi="Arial Narrow" w:cs="Arial"/>
          <w:b/>
          <w:snapToGrid w:val="0"/>
          <w:color w:val="000000"/>
          <w:sz w:val="24"/>
        </w:rPr>
        <w:t>First Aid versus OSHA Recordable Incidents</w:t>
      </w:r>
    </w:p>
    <w:p w14:paraId="166AC73C" w14:textId="77777777" w:rsidR="005823E1" w:rsidRPr="00320179" w:rsidRDefault="005823E1" w:rsidP="005823E1">
      <w:pPr>
        <w:jc w:val="both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 xml:space="preserve">The main focus for all </w:t>
      </w:r>
      <w:r w:rsidR="00E21BF6">
        <w:rPr>
          <w:rFonts w:ascii="Arial Narrow" w:hAnsi="Arial Narrow" w:cs="Arial"/>
          <w:snapToGrid w:val="0"/>
          <w:color w:val="000000"/>
          <w:sz w:val="24"/>
        </w:rPr>
        <w:t>employees</w:t>
      </w:r>
      <w:r w:rsidRPr="00320179">
        <w:rPr>
          <w:rFonts w:ascii="Arial Narrow" w:hAnsi="Arial Narrow" w:cs="Arial"/>
          <w:snapToGrid w:val="0"/>
          <w:color w:val="000000"/>
          <w:sz w:val="24"/>
        </w:rPr>
        <w:t xml:space="preserve"> who are under </w:t>
      </w:r>
      <w:r>
        <w:rPr>
          <w:rFonts w:ascii="Arial Narrow" w:hAnsi="Arial Narrow" w:cs="Arial"/>
          <w:snapToGrid w:val="0"/>
          <w:color w:val="000000"/>
          <w:sz w:val="24"/>
        </w:rPr>
        <w:t>A&amp;C Urgent Care</w:t>
      </w:r>
      <w:r w:rsidRPr="00320179">
        <w:rPr>
          <w:rFonts w:ascii="Arial Narrow" w:hAnsi="Arial Narrow" w:cs="Arial"/>
          <w:snapToGrid w:val="0"/>
          <w:color w:val="000000"/>
          <w:sz w:val="24"/>
        </w:rPr>
        <w:t xml:space="preserve">’s Injury Management Program, as a result of a work related </w:t>
      </w:r>
      <w:r w:rsidR="00E21BF6" w:rsidRPr="00320179">
        <w:rPr>
          <w:rFonts w:ascii="Arial Narrow" w:hAnsi="Arial Narrow" w:cs="Arial"/>
          <w:snapToGrid w:val="0"/>
          <w:color w:val="000000"/>
          <w:sz w:val="24"/>
        </w:rPr>
        <w:t>incident</w:t>
      </w:r>
      <w:r w:rsidRPr="00320179">
        <w:rPr>
          <w:rFonts w:ascii="Arial Narrow" w:hAnsi="Arial Narrow" w:cs="Arial"/>
          <w:snapToGrid w:val="0"/>
          <w:color w:val="000000"/>
          <w:sz w:val="24"/>
        </w:rPr>
        <w:t xml:space="preserve"> is for them to receive the proper and appropriate medical care.  Our goal is for each of </w:t>
      </w:r>
      <w:r w:rsidR="00E21BF6">
        <w:rPr>
          <w:rFonts w:ascii="Arial Narrow" w:hAnsi="Arial Narrow" w:cs="Arial"/>
          <w:snapToGrid w:val="0"/>
          <w:color w:val="000000"/>
          <w:sz w:val="24"/>
        </w:rPr>
        <w:t>the company’s we work with</w:t>
      </w:r>
      <w:r w:rsidRPr="00320179">
        <w:rPr>
          <w:rFonts w:ascii="Arial Narrow" w:hAnsi="Arial Narrow" w:cs="Arial"/>
          <w:snapToGrid w:val="0"/>
          <w:color w:val="000000"/>
          <w:sz w:val="24"/>
        </w:rPr>
        <w:t xml:space="preserve"> to accomplish this, while understanding the impact OSHA recordable incidents can have on </w:t>
      </w:r>
      <w:r w:rsidR="00E21BF6">
        <w:rPr>
          <w:rFonts w:ascii="Arial Narrow" w:hAnsi="Arial Narrow" w:cs="Arial"/>
          <w:snapToGrid w:val="0"/>
          <w:color w:val="000000"/>
          <w:sz w:val="24"/>
        </w:rPr>
        <w:t>they’re</w:t>
      </w:r>
      <w:r w:rsidRPr="00320179">
        <w:rPr>
          <w:rFonts w:ascii="Arial Narrow" w:hAnsi="Arial Narrow" w:cs="Arial"/>
          <w:snapToGrid w:val="0"/>
          <w:color w:val="000000"/>
          <w:sz w:val="24"/>
        </w:rPr>
        <w:t xml:space="preserve"> company.  Proper medical care is always our first priority.  Our objective is to form a partnership between </w:t>
      </w:r>
      <w:r w:rsidR="00E21BF6">
        <w:rPr>
          <w:rFonts w:ascii="Arial Narrow" w:hAnsi="Arial Narrow" w:cs="Arial"/>
          <w:snapToGrid w:val="0"/>
          <w:color w:val="000000"/>
          <w:sz w:val="24"/>
        </w:rPr>
        <w:t>you’re company</w:t>
      </w:r>
      <w:r w:rsidRPr="00320179">
        <w:rPr>
          <w:rFonts w:ascii="Arial Narrow" w:hAnsi="Arial Narrow" w:cs="Arial"/>
          <w:snapToGrid w:val="0"/>
          <w:color w:val="000000"/>
          <w:sz w:val="24"/>
        </w:rPr>
        <w:t xml:space="preserve"> and </w:t>
      </w:r>
      <w:r w:rsidR="00ED2254">
        <w:rPr>
          <w:rFonts w:ascii="Arial Narrow" w:hAnsi="Arial Narrow" w:cs="Arial"/>
          <w:snapToGrid w:val="0"/>
          <w:color w:val="000000"/>
          <w:sz w:val="24"/>
        </w:rPr>
        <w:t>A&amp;C Urgent Care</w:t>
      </w:r>
      <w:r w:rsidR="00ED2254" w:rsidRPr="00320179">
        <w:rPr>
          <w:rFonts w:ascii="Arial Narrow" w:hAnsi="Arial Narrow" w:cs="Arial"/>
          <w:snapToGrid w:val="0"/>
          <w:color w:val="000000"/>
          <w:sz w:val="24"/>
        </w:rPr>
        <w:t xml:space="preserve"> </w:t>
      </w:r>
      <w:r w:rsidRPr="00320179">
        <w:rPr>
          <w:rFonts w:ascii="Arial Narrow" w:hAnsi="Arial Narrow" w:cs="Arial"/>
          <w:snapToGrid w:val="0"/>
          <w:color w:val="000000"/>
          <w:sz w:val="24"/>
        </w:rPr>
        <w:t xml:space="preserve">so that we can explore all viable treatment options that will provide that optimal level of care to the injured employee, while trying to achieve a “First Aid” case versus an OSHA recordable event.  </w:t>
      </w:r>
    </w:p>
    <w:p w14:paraId="1969F887" w14:textId="77777777" w:rsidR="005823E1" w:rsidRPr="00320179" w:rsidRDefault="005823E1" w:rsidP="005823E1">
      <w:pPr>
        <w:jc w:val="both"/>
        <w:rPr>
          <w:rFonts w:ascii="Arial Narrow" w:hAnsi="Arial Narrow" w:cs="Arial"/>
          <w:snapToGrid w:val="0"/>
          <w:color w:val="000000"/>
          <w:sz w:val="24"/>
        </w:rPr>
      </w:pPr>
    </w:p>
    <w:p w14:paraId="11702192" w14:textId="77777777" w:rsidR="005823E1" w:rsidRPr="00320179" w:rsidRDefault="005823E1" w:rsidP="005823E1">
      <w:pPr>
        <w:rPr>
          <w:rFonts w:ascii="Arial Narrow" w:hAnsi="Arial Narrow" w:cs="Arial"/>
          <w:b/>
          <w:snapToGrid w:val="0"/>
          <w:color w:val="000000"/>
          <w:sz w:val="24"/>
        </w:rPr>
      </w:pPr>
      <w:r w:rsidRPr="00320179">
        <w:rPr>
          <w:rFonts w:ascii="Arial Narrow" w:hAnsi="Arial Narrow" w:cs="Arial"/>
          <w:b/>
          <w:snapToGrid w:val="0"/>
          <w:color w:val="000000"/>
          <w:sz w:val="24"/>
        </w:rPr>
        <w:t xml:space="preserve">The main attributes that constitute an OSHA recordable event are: </w:t>
      </w:r>
    </w:p>
    <w:p w14:paraId="15C49F4E" w14:textId="77777777" w:rsidR="005823E1" w:rsidRPr="00320179" w:rsidRDefault="005823E1" w:rsidP="005823E1">
      <w:pPr>
        <w:rPr>
          <w:rFonts w:ascii="Arial Narrow" w:hAnsi="Arial Narrow" w:cs="Arial"/>
          <w:b/>
          <w:snapToGrid w:val="0"/>
          <w:color w:val="000000"/>
          <w:sz w:val="24"/>
        </w:rPr>
      </w:pPr>
    </w:p>
    <w:p w14:paraId="33202ED5" w14:textId="77777777" w:rsidR="005823E1" w:rsidRPr="00320179" w:rsidRDefault="005823E1" w:rsidP="005823E1">
      <w:pPr>
        <w:numPr>
          <w:ilvl w:val="0"/>
          <w:numId w:val="1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 xml:space="preserve">Days away from work (starting the day after the injury) </w:t>
      </w:r>
    </w:p>
    <w:p w14:paraId="74B15D65" w14:textId="77777777" w:rsidR="005823E1" w:rsidRPr="00320179" w:rsidRDefault="005823E1" w:rsidP="005823E1">
      <w:pPr>
        <w:numPr>
          <w:ilvl w:val="0"/>
          <w:numId w:val="1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 xml:space="preserve">Work restriction affecting currently assigned tasks (restricted duties) </w:t>
      </w:r>
    </w:p>
    <w:p w14:paraId="5358D87D" w14:textId="77777777" w:rsidR="005823E1" w:rsidRPr="00320179" w:rsidRDefault="005823E1" w:rsidP="005823E1">
      <w:pPr>
        <w:numPr>
          <w:ilvl w:val="0"/>
          <w:numId w:val="1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Use of prescription medication or medications at prescription dosages (even a single dose)</w:t>
      </w:r>
    </w:p>
    <w:p w14:paraId="1276035D" w14:textId="77777777" w:rsidR="005823E1" w:rsidRPr="00320179" w:rsidRDefault="005823E1" w:rsidP="005823E1">
      <w:pPr>
        <w:numPr>
          <w:ilvl w:val="0"/>
          <w:numId w:val="1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Use of over the counter medications at prescription strength</w:t>
      </w:r>
    </w:p>
    <w:p w14:paraId="546BB2FE" w14:textId="77777777" w:rsidR="005823E1" w:rsidRPr="00320179" w:rsidRDefault="005823E1" w:rsidP="005823E1">
      <w:pPr>
        <w:numPr>
          <w:ilvl w:val="0"/>
          <w:numId w:val="1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Loss of Consciousness</w:t>
      </w:r>
    </w:p>
    <w:p w14:paraId="42BE9A8E" w14:textId="77777777" w:rsidR="005823E1" w:rsidRPr="00320179" w:rsidRDefault="005823E1" w:rsidP="005823E1">
      <w:pPr>
        <w:numPr>
          <w:ilvl w:val="0"/>
          <w:numId w:val="1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 xml:space="preserve">Sutures / Staples </w:t>
      </w:r>
    </w:p>
    <w:p w14:paraId="253C2316" w14:textId="77777777" w:rsidR="005823E1" w:rsidRPr="00320179" w:rsidRDefault="005823E1" w:rsidP="005823E1">
      <w:pPr>
        <w:numPr>
          <w:ilvl w:val="0"/>
          <w:numId w:val="1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Fractured or Broken Bones</w:t>
      </w:r>
    </w:p>
    <w:p w14:paraId="0F1AD33E" w14:textId="77777777" w:rsidR="005823E1" w:rsidRPr="00320179" w:rsidRDefault="005823E1" w:rsidP="005823E1">
      <w:pPr>
        <w:numPr>
          <w:ilvl w:val="0"/>
          <w:numId w:val="1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Ridged Braces</w:t>
      </w:r>
      <w:r w:rsidRPr="00320179">
        <w:rPr>
          <w:rFonts w:ascii="Arial Narrow" w:hAnsi="Arial Narrow" w:cs="Arial"/>
          <w:snapToGrid w:val="0"/>
          <w:color w:val="000000"/>
          <w:sz w:val="24"/>
        </w:rPr>
        <w:br/>
      </w:r>
    </w:p>
    <w:p w14:paraId="1326B99C" w14:textId="77777777" w:rsidR="005823E1" w:rsidRDefault="005823E1" w:rsidP="005823E1">
      <w:pPr>
        <w:rPr>
          <w:rFonts w:ascii="Arial Narrow" w:hAnsi="Arial Narrow" w:cs="Arial"/>
          <w:b/>
          <w:snapToGrid w:val="0"/>
          <w:color w:val="000000"/>
          <w:sz w:val="24"/>
        </w:rPr>
      </w:pPr>
      <w:r w:rsidRPr="00320179">
        <w:rPr>
          <w:rFonts w:ascii="Arial Narrow" w:hAnsi="Arial Narrow" w:cs="Arial"/>
          <w:b/>
          <w:snapToGrid w:val="0"/>
          <w:color w:val="000000"/>
          <w:sz w:val="24"/>
        </w:rPr>
        <w:t>Recommendations of First Aid Care Techniques:</w:t>
      </w:r>
    </w:p>
    <w:p w14:paraId="4FAB3F1B" w14:textId="77777777" w:rsidR="00ED2254" w:rsidRPr="00ED2254" w:rsidRDefault="00ED2254" w:rsidP="005823E1">
      <w:pPr>
        <w:rPr>
          <w:rFonts w:ascii="Arial Narrow" w:hAnsi="Arial Narrow" w:cs="Arial"/>
          <w:b/>
          <w:snapToGrid w:val="0"/>
          <w:color w:val="000000"/>
          <w:sz w:val="24"/>
        </w:rPr>
      </w:pPr>
    </w:p>
    <w:p w14:paraId="77A0D9CE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400mg Ibuprofen</w:t>
      </w:r>
    </w:p>
    <w:p w14:paraId="70D09C5C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Tylenol (Acetaminophen)</w:t>
      </w:r>
    </w:p>
    <w:p w14:paraId="0E0B5E40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Aleve</w:t>
      </w:r>
    </w:p>
    <w:p w14:paraId="652B7538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Bacitracin</w:t>
      </w:r>
    </w:p>
    <w:p w14:paraId="4F3CD97B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Neosporin</w:t>
      </w:r>
    </w:p>
    <w:p w14:paraId="6C70325A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 xml:space="preserve">Butterfly Bandages </w:t>
      </w:r>
    </w:p>
    <w:p w14:paraId="2518A6B1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Flushing and/or application of cold compress for 1</w:t>
      </w:r>
      <w:r w:rsidRPr="00320179">
        <w:rPr>
          <w:rFonts w:ascii="Arial Narrow" w:hAnsi="Arial Narrow" w:cs="Arial"/>
          <w:snapToGrid w:val="0"/>
          <w:color w:val="000000"/>
          <w:sz w:val="24"/>
          <w:vertAlign w:val="superscript"/>
        </w:rPr>
        <w:t>st</w:t>
      </w:r>
      <w:r w:rsidRPr="00320179">
        <w:rPr>
          <w:rFonts w:ascii="Arial Narrow" w:hAnsi="Arial Narrow" w:cs="Arial"/>
          <w:snapToGrid w:val="0"/>
          <w:color w:val="000000"/>
          <w:sz w:val="24"/>
        </w:rPr>
        <w:t xml:space="preserve"> Degree Burns</w:t>
      </w:r>
    </w:p>
    <w:p w14:paraId="3DBF9796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Liquid Bandages (Derma Bond surgical glue is recordable – try to avoid)</w:t>
      </w:r>
    </w:p>
    <w:p w14:paraId="7A2733AC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The utilization of non-ridged braces</w:t>
      </w:r>
    </w:p>
    <w:p w14:paraId="4CF65A0D" w14:textId="77777777" w:rsidR="005823E1" w:rsidRPr="00320179" w:rsidRDefault="005823E1" w:rsidP="005823E1">
      <w:pPr>
        <w:numPr>
          <w:ilvl w:val="1"/>
          <w:numId w:val="2"/>
        </w:numPr>
        <w:tabs>
          <w:tab w:val="num" w:pos="2160"/>
        </w:tabs>
        <w:autoSpaceDE/>
        <w:autoSpaceDN/>
        <w:adjustRightInd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Neoprene Sleeves</w:t>
      </w:r>
    </w:p>
    <w:p w14:paraId="21E97546" w14:textId="77777777" w:rsidR="005823E1" w:rsidRPr="00320179" w:rsidRDefault="005823E1" w:rsidP="005823E1">
      <w:pPr>
        <w:numPr>
          <w:ilvl w:val="1"/>
          <w:numId w:val="2"/>
        </w:numPr>
        <w:tabs>
          <w:tab w:val="num" w:pos="2160"/>
        </w:tabs>
        <w:autoSpaceDE/>
        <w:autoSpaceDN/>
        <w:adjustRightInd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Laced or Velcro Braces</w:t>
      </w:r>
    </w:p>
    <w:p w14:paraId="1444BC06" w14:textId="77777777" w:rsidR="005823E1" w:rsidRPr="00320179" w:rsidRDefault="005823E1" w:rsidP="005823E1">
      <w:pPr>
        <w:numPr>
          <w:ilvl w:val="1"/>
          <w:numId w:val="2"/>
        </w:numPr>
        <w:tabs>
          <w:tab w:val="num" w:pos="2160"/>
        </w:tabs>
        <w:autoSpaceDE/>
        <w:autoSpaceDN/>
        <w:adjustRightInd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Ace Bandages</w:t>
      </w:r>
    </w:p>
    <w:p w14:paraId="2BEDF17F" w14:textId="77777777" w:rsidR="005823E1" w:rsidRPr="00320179" w:rsidRDefault="005823E1" w:rsidP="005823E1">
      <w:pPr>
        <w:numPr>
          <w:ilvl w:val="1"/>
          <w:numId w:val="2"/>
        </w:numPr>
        <w:tabs>
          <w:tab w:val="num" w:pos="2160"/>
        </w:tabs>
        <w:autoSpaceDE/>
        <w:autoSpaceDN/>
        <w:adjustRightInd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Air Casts</w:t>
      </w:r>
    </w:p>
    <w:p w14:paraId="62565B45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Removal of debris from eye using a Q-Tip, Spatula or Irrigation</w:t>
      </w:r>
    </w:p>
    <w:p w14:paraId="25F84082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Use of Eye Patch</w:t>
      </w:r>
    </w:p>
    <w:p w14:paraId="3FCF77EB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Drilling of a nail to relieve pressure</w:t>
      </w:r>
    </w:p>
    <w:p w14:paraId="15385129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Draining and/or opening of a blister</w:t>
      </w:r>
    </w:p>
    <w:p w14:paraId="2C8E3CC1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Removal of Debris (using tweezers or equivalent)</w:t>
      </w:r>
    </w:p>
    <w:p w14:paraId="67BD8E0E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Cleaning, flushing or soaking of wounds</w:t>
      </w:r>
    </w:p>
    <w:p w14:paraId="6DFF9609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Usage of a whirlpool to clean a wound</w:t>
      </w:r>
    </w:p>
    <w:p w14:paraId="012BC724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E2A9" wp14:editId="65E15159">
                <wp:simplePos x="0" y="0"/>
                <wp:positionH relativeFrom="column">
                  <wp:posOffset>4022725</wp:posOffset>
                </wp:positionH>
                <wp:positionV relativeFrom="paragraph">
                  <wp:posOffset>70485</wp:posOffset>
                </wp:positionV>
                <wp:extent cx="2724150" cy="4667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AA903" w14:textId="77777777" w:rsidR="005823E1" w:rsidRDefault="005823E1" w:rsidP="005823E1">
                            <w:pPr>
                              <w:ind w:left="720" w:hanging="720"/>
                              <w:jc w:val="both"/>
                            </w:pPr>
                            <w:r w:rsidRPr="002D259B">
                              <w:rPr>
                                <w:rFonts w:ascii="Arial Narrow" w:hAnsi="Arial Narrow" w:cs="Arial"/>
                                <w:b/>
                                <w:snapToGrid w:val="0"/>
                                <w:color w:val="000000"/>
                                <w:szCs w:val="20"/>
                              </w:rPr>
                              <w:t>Note:</w:t>
                            </w:r>
                            <w:r w:rsidRPr="002D259B">
                              <w:rPr>
                                <w:rFonts w:ascii="Arial Narrow" w:hAnsi="Arial Narrow" w:cs="Arial"/>
                                <w:snapToGrid w:val="0"/>
                                <w:color w:val="000000"/>
                                <w:szCs w:val="20"/>
                              </w:rPr>
                              <w:tab/>
                              <w:t>Use of an immobilization apparatus during transportation still constitutes First Aid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75pt;margin-top:5.55pt;width:214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" strokeweight="2pt">
                <v:textbox>
                  <w:txbxContent>
                    <w:p w:rsidR="005823E1" w:rsidRDefault="005823E1" w:rsidP="005823E1">
                      <w:pPr>
                        <w:ind w:left="720" w:hanging="720"/>
                        <w:jc w:val="both"/>
                      </w:pPr>
                      <w:r w:rsidRPr="002D259B">
                        <w:rPr>
                          <w:rFonts w:ascii="Arial Narrow" w:hAnsi="Arial Narrow" w:cs="Arial"/>
                          <w:b/>
                          <w:snapToGrid w:val="0"/>
                          <w:color w:val="000000"/>
                          <w:szCs w:val="20"/>
                        </w:rPr>
                        <w:t>Note:</w:t>
                      </w:r>
                      <w:r w:rsidRPr="002D259B">
                        <w:rPr>
                          <w:rFonts w:ascii="Arial Narrow" w:hAnsi="Arial Narrow" w:cs="Arial"/>
                          <w:snapToGrid w:val="0"/>
                          <w:color w:val="000000"/>
                          <w:szCs w:val="20"/>
                        </w:rPr>
                        <w:tab/>
                        <w:t>Use of an immobilization apparatus during transportation still constitutes First Aid Care</w:t>
                      </w:r>
                    </w:p>
                  </w:txbxContent>
                </v:textbox>
              </v:shape>
            </w:pict>
          </mc:Fallback>
        </mc:AlternateContent>
      </w:r>
      <w:r w:rsidRPr="00320179">
        <w:rPr>
          <w:rFonts w:ascii="Arial Narrow" w:hAnsi="Arial Narrow" w:cs="Arial"/>
          <w:snapToGrid w:val="0"/>
          <w:color w:val="000000"/>
          <w:sz w:val="24"/>
        </w:rPr>
        <w:t>Ice or Heat</w:t>
      </w:r>
    </w:p>
    <w:p w14:paraId="07836AE7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Oral Fluids</w:t>
      </w:r>
    </w:p>
    <w:p w14:paraId="57A8C395" w14:textId="77777777" w:rsidR="005823E1" w:rsidRPr="00320179" w:rsidRDefault="005823E1" w:rsidP="005823E1">
      <w:pPr>
        <w:numPr>
          <w:ilvl w:val="0"/>
          <w:numId w:val="2"/>
        </w:numPr>
        <w:tabs>
          <w:tab w:val="num" w:pos="720"/>
        </w:tabs>
        <w:autoSpaceDE/>
        <w:autoSpaceDN/>
        <w:adjustRightInd/>
        <w:ind w:hanging="1800"/>
        <w:rPr>
          <w:rFonts w:ascii="Arial Narrow" w:hAnsi="Arial Narrow" w:cs="Arial"/>
          <w:snapToGrid w:val="0"/>
          <w:color w:val="000000"/>
          <w:sz w:val="24"/>
        </w:rPr>
      </w:pPr>
      <w:r w:rsidRPr="00320179">
        <w:rPr>
          <w:rFonts w:ascii="Arial Narrow" w:hAnsi="Arial Narrow" w:cs="Arial"/>
          <w:snapToGrid w:val="0"/>
          <w:color w:val="000000"/>
          <w:sz w:val="24"/>
        </w:rPr>
        <w:t>Tetanus or Booster Shot</w:t>
      </w:r>
    </w:p>
    <w:p w14:paraId="00642228" w14:textId="77777777" w:rsidR="005823E1" w:rsidRPr="005E3C16" w:rsidRDefault="005823E1" w:rsidP="005823E1">
      <w:pPr>
        <w:rPr>
          <w:rFonts w:ascii="Times New Roman" w:hAnsi="Times New Roman"/>
          <w:sz w:val="24"/>
        </w:rPr>
      </w:pPr>
    </w:p>
    <w:p w14:paraId="1C7F0D6F" w14:textId="77777777" w:rsidR="00782540" w:rsidRDefault="00782540"/>
    <w:sectPr w:rsidR="00782540" w:rsidSect="005823E1">
      <w:endnotePr>
        <w:numFmt w:val="decimal"/>
      </w:endnotePr>
      <w:pgSz w:w="12240" w:h="15840"/>
      <w:pgMar w:top="360" w:right="446" w:bottom="288" w:left="374" w:header="36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71F7A"/>
    <w:multiLevelType w:val="hybridMultilevel"/>
    <w:tmpl w:val="6574954A"/>
    <w:lvl w:ilvl="0" w:tplc="22C411B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B752B"/>
    <w:multiLevelType w:val="hybridMultilevel"/>
    <w:tmpl w:val="8E70F926"/>
    <w:lvl w:ilvl="0" w:tplc="22C411B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3E1"/>
    <w:rsid w:val="005823E1"/>
    <w:rsid w:val="00782540"/>
    <w:rsid w:val="00837678"/>
    <w:rsid w:val="00D66E49"/>
    <w:rsid w:val="00E21BF6"/>
    <w:rsid w:val="00E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03FEB"/>
  <w15:docId w15:val="{9A100ACE-D065-B740-8B38-E83E229D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5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Salazar</dc:creator>
  <cp:keywords/>
  <dc:description/>
  <cp:lastModifiedBy>License</cp:lastModifiedBy>
  <cp:revision>3</cp:revision>
  <dcterms:created xsi:type="dcterms:W3CDTF">2020-01-16T21:52:00Z</dcterms:created>
  <dcterms:modified xsi:type="dcterms:W3CDTF">2021-03-17T22:22:00Z</dcterms:modified>
</cp:coreProperties>
</file>